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B800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General Guiding Principles: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81AFF7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96265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color w:val="000000"/>
        </w:rPr>
        <w:t> </w:t>
      </w:r>
    </w:p>
    <w:p w14:paraId="79487A02" w14:textId="77777777" w:rsidR="0061672B" w:rsidRDefault="0061672B" w:rsidP="0061672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All student-athletes and coaches must complete daily screenings and monitoring logs.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If a student- athlete or a coaching staff member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fails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the screening they should not participate.</w:t>
      </w:r>
      <w:r>
        <w:rPr>
          <w:rStyle w:val="normaltextrun"/>
          <w:rFonts w:ascii="Calibri" w:hAnsi="Calibri" w:cs="Calibri"/>
          <w:color w:val="201F1E"/>
          <w:sz w:val="22"/>
          <w:szCs w:val="22"/>
        </w:rPr>
        <w:t>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6C7D926A" w14:textId="77777777" w:rsidR="0061672B" w:rsidRDefault="0061672B" w:rsidP="0061672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93939"/>
          <w:sz w:val="22"/>
          <w:szCs w:val="22"/>
        </w:rPr>
        <w:t>Masks should be worn by student-athletes when not participating and may be considered while actively participating in their sport. Coaches and team personnel should wear masks at all </w:t>
      </w:r>
      <w:proofErr w:type="gramStart"/>
      <w:r>
        <w:rPr>
          <w:rStyle w:val="normaltextrun"/>
          <w:rFonts w:ascii="Calibri" w:hAnsi="Calibri" w:cs="Calibri"/>
          <w:color w:val="393939"/>
          <w:sz w:val="22"/>
          <w:szCs w:val="22"/>
        </w:rPr>
        <w:t>times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66D7BB" w14:textId="77777777" w:rsidR="0061672B" w:rsidRDefault="0061672B" w:rsidP="0061672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Adequate cleaning schedules should be created and implemented for all athletic common areas to mitigate any potential exposures.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6EF814" w14:textId="77777777" w:rsidR="0061672B" w:rsidRDefault="0061672B" w:rsidP="006167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Prior to anyone entering a facility area, hard surfaces and frequently touched areas should be wiped down and sanitized. 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82FD443" w14:textId="77777777" w:rsidR="0061672B" w:rsidRDefault="0061672B" w:rsidP="006167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Hand sanitizer should be plentiful and available to individuals in all locations.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EEBC44" w14:textId="77777777" w:rsidR="0061672B" w:rsidRDefault="0061672B" w:rsidP="006167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Use signage, floor markings, seating markings or other cues to inform participants and direct flow.</w:t>
      </w:r>
      <w:r>
        <w:rPr>
          <w:rStyle w:val="normaltextrun"/>
          <w:rFonts w:ascii="Calibri" w:hAnsi="Calibri" w:cs="Calibri"/>
          <w:color w:val="201F1E"/>
        </w:rPr>
        <w:t> </w:t>
      </w:r>
      <w:r>
        <w:rPr>
          <w:rStyle w:val="eop"/>
          <w:rFonts w:ascii="Calibri" w:hAnsi="Calibri" w:cs="Calibri"/>
          <w:color w:val="201F1E"/>
        </w:rPr>
        <w:t> </w:t>
      </w:r>
    </w:p>
    <w:p w14:paraId="4AB98A2B" w14:textId="77777777" w:rsidR="0061672B" w:rsidRDefault="0061672B" w:rsidP="006167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Improve ventilation for </w:t>
      </w:r>
      <w:proofErr w:type="gramStart"/>
      <w:r>
        <w:rPr>
          <w:rStyle w:val="normaltextrun"/>
          <w:rFonts w:ascii="Calibri" w:hAnsi="Calibri" w:cs="Calibri"/>
          <w:color w:val="201F1E"/>
          <w:sz w:val="22"/>
          <w:szCs w:val="22"/>
        </w:rPr>
        <w:t>confined,</w:t>
      </w:r>
      <w:proofErr w:type="gramEnd"/>
      <w:r>
        <w:rPr>
          <w:rStyle w:val="normaltextrun"/>
          <w:rFonts w:ascii="Calibri" w:hAnsi="Calibri" w:cs="Calibri"/>
          <w:color w:val="201F1E"/>
          <w:sz w:val="22"/>
          <w:szCs w:val="22"/>
        </w:rPr>
        <w:t> indoor spaces. Circulate outdoor air where possible and as permitted by SCS building regulations.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4AF66B10" w14:textId="77777777" w:rsidR="0061672B" w:rsidRDefault="0061672B" w:rsidP="006167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Manage the number of people in an area. There must 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be a minimum distance of 6 feet between each individual at all times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. If this is not possible indoors, then the maximum number of individuals in the room must be decreased until proper social distancing can occur.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A761DAD" w14:textId="77777777" w:rsidR="0061672B" w:rsidRDefault="0061672B" w:rsidP="0061672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Consider staggered scheduling of school teams to avoid crossing </w:t>
      </w:r>
      <w:proofErr w:type="gramStart"/>
      <w:r>
        <w:rPr>
          <w:rStyle w:val="normaltextrun"/>
          <w:rFonts w:ascii="Calibri" w:hAnsi="Calibri" w:cs="Calibri"/>
          <w:color w:val="000000"/>
        </w:rPr>
        <w:t>groups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05D6005" w14:textId="77777777" w:rsidR="0061672B" w:rsidRDefault="0061672B" w:rsidP="0061672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Increase hygiene practices, encourage practicing good respiratory etiquette when coughing or sneezing and avoiding touching one’s face.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2939886B" w14:textId="77777777" w:rsidR="0061672B" w:rsidRDefault="0061672B" w:rsidP="0061672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Clear facility areas immediately following the conclusion of participation; do not allow people to congregate.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F333A3A" w14:textId="77777777" w:rsidR="0061672B" w:rsidRDefault="0061672B" w:rsidP="0061672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Areas should be limited to essential personnel only.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0B4D963F" w14:textId="77777777" w:rsidR="0061672B" w:rsidRDefault="0061672B" w:rsidP="0061672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Precautions should be taken to identify any high-risk individuals.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8993D4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F8F48C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Weight Room Guidelines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4BCA721B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30884815" w14:textId="77777777" w:rsidR="0061672B" w:rsidRDefault="0061672B" w:rsidP="0061672B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Workouts should be conducted in “pods” of students with the same 5-10 students always working out together. Smaller pods can be utilized for weight training. This ensures more limited exposure if someone develops an infection. 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7421209" w14:textId="77777777" w:rsidR="0061672B" w:rsidRDefault="0061672B" w:rsidP="0061672B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Individuals should wash their hands for a minimum of 20 seconds with warm water and soap or hand sanitize before touching any surfaces or participating in workouts.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3CBADD41" w14:textId="77777777" w:rsidR="0061672B" w:rsidRDefault="0061672B" w:rsidP="006167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Weight equipment should be wiped down thoroughly before and after an individual’s use of equipment.  Minimize sharing equipment whenever possible.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7C6D55C" w14:textId="77777777" w:rsidR="0061672B" w:rsidRDefault="0061672B" w:rsidP="006167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Appropriate clothing/shoes should be 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worn at all times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in the weight room to minimize sweat from transmitting onto equipment/surfaces.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1F426F4" w14:textId="77777777" w:rsidR="0061672B" w:rsidRDefault="0061672B" w:rsidP="006167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 should wear their own appropriate workout clothing (do not share clothing), and individual clothing/towels should be washed and cleaned after every workout.  There should be no shared athletic towels, clothing or shoes between students. 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E873423" w14:textId="77777777" w:rsidR="0061672B" w:rsidRDefault="0061672B" w:rsidP="006167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Any equipment such as weight benches, athletic pads, etc. having holes with exposed foam should be covered.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E7DFDB" w14:textId="77777777" w:rsidR="0061672B" w:rsidRDefault="0061672B" w:rsidP="006167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Spotters should wear masks.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3183B6CA" w14:textId="77777777" w:rsidR="0061672B" w:rsidRDefault="0061672B" w:rsidP="0061672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All students should bring their own water bottle. Water bottles must not be shared.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508423E" w14:textId="77777777" w:rsidR="0061672B" w:rsidRDefault="0061672B" w:rsidP="0061672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May consider taking weights outside if possible.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8E21CB7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25746A4E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Gym Guidelines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7E1EF34C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6896F6" w14:textId="77777777" w:rsidR="0061672B" w:rsidRDefault="0061672B" w:rsidP="0061672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Limit capacity based on district guidelines (1/3 capacity with a minimum of 6 feet between individuals)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7401A8" w14:textId="77777777" w:rsidR="0061672B" w:rsidRDefault="0061672B" w:rsidP="0061672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Create one-way traffic lanes if 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possible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in bleachers and entry/exit points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705CE6" w14:textId="77777777" w:rsidR="0061672B" w:rsidRDefault="0061672B" w:rsidP="0061672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Discourage the use of bleachers when not needed, mark areas to allow for appropriate 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spacing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A8DFB6" w14:textId="77777777" w:rsidR="0061672B" w:rsidRDefault="0061672B" w:rsidP="0061672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Eliminate other items not needed 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i.e.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excess chairs and tables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9B2235" w14:textId="77777777" w:rsidR="0061672B" w:rsidRDefault="0061672B" w:rsidP="0061672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Individual drills requiring the use of athletic equipment are permissible, but the equipment should be cleaned prior to use by the next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individual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7C23F8" w14:textId="77777777" w:rsidR="0061672B" w:rsidRDefault="0061672B" w:rsidP="0061672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Facilities should be cleaned regularly each time they are used with special attention given to: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7CBD55" w14:textId="77777777" w:rsidR="0061672B" w:rsidRDefault="0061672B" w:rsidP="0061672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Frequently touched surfaces such as 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door knobs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, hand rails etc.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78305D" w14:textId="77777777" w:rsidR="0061672B" w:rsidRDefault="0061672B" w:rsidP="0061672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Trash disposed of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properly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E40206" w14:textId="77777777" w:rsidR="0061672B" w:rsidRDefault="0061672B" w:rsidP="0061672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Floors should be 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mopped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2EA0C3" w14:textId="77777777" w:rsidR="0061672B" w:rsidRDefault="0061672B" w:rsidP="0061672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Facility equipment (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i.e.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mics,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scorers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table, etc.) should be sanitized before and after each use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DA0C2A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7B11915A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Locker Room Guidelines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6C0231B0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 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2B3920DA" w14:textId="77777777" w:rsidR="0061672B" w:rsidRDefault="0061672B" w:rsidP="0061672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Consider limiting locker room usage to small groups at a time (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i.e.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4 to 5 at a time)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9AE2509" w14:textId="77777777" w:rsidR="0061672B" w:rsidRDefault="0061672B" w:rsidP="0061672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should be no shared athletic equipment (towels, clothing, shoes, etc.) between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CF9BF1" w14:textId="77777777" w:rsidR="0061672B" w:rsidRDefault="0061672B" w:rsidP="0061672B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Locker rooms are to be used strictly to change uniforms and store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items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0F9E45F2" w14:textId="77777777" w:rsidR="0061672B" w:rsidRDefault="0061672B" w:rsidP="0061672B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Individual lockers should be sanitized and disinfected after each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use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5EDFCC7" w14:textId="77777777" w:rsidR="0061672B" w:rsidRDefault="0061672B" w:rsidP="0061672B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 should be encouraged to shower and wash dirty clothing immediately upon returning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home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6072A0B" w14:textId="77777777" w:rsidR="0061672B" w:rsidRDefault="0061672B" w:rsidP="006167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Resources: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BE4DA56" w14:textId="77777777" w:rsidR="0061672B" w:rsidRDefault="0061672B" w:rsidP="0061672B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Sports 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https://www.tn.gov/governor/covid-19/economic-recovery/sports.html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98F620" w14:textId="77777777" w:rsidR="0061672B" w:rsidRDefault="0061672B" w:rsidP="0061672B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Recommendation for a Safe Return to Sport and Physical Activity: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https://www.childrensmercy.org/health-and-safety-resources/information-about-covid-19-novel-coronavirus/returning-to-community-activities/recommendations-for-a-safe-return-to-sport-and-physical-activity-after-covid-19/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26FE39" w14:textId="77777777" w:rsidR="0061672B" w:rsidRDefault="0061672B" w:rsidP="0061672B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NFHS Guidance for Opening up High School Athletics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https://www.nfhs.org/media/3812287/2020-nfhs-guidance-for-opening-up-high-school-athletics-and-activities-nfhs-smac-may-15_2020-final.pdf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F386F5" w14:textId="77777777" w:rsidR="0061672B" w:rsidRDefault="0061672B" w:rsidP="0061672B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SCS Communications is working with Student Support/Athletics to complete visuals to help support schools as needed in the next few weeks along with a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toolkit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8D2BF6" w14:textId="77777777" w:rsidR="0061672B" w:rsidRDefault="0061672B" w:rsidP="0061672B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Grounds and Facilities issues, please have this information entered in School Dude with your Plant Manager.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B39E8F" w14:textId="77777777" w:rsidR="00812A5E" w:rsidRDefault="00812A5E"/>
    <w:sectPr w:rsidR="0081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1033"/>
    <w:multiLevelType w:val="multilevel"/>
    <w:tmpl w:val="2C28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690976"/>
    <w:multiLevelType w:val="multilevel"/>
    <w:tmpl w:val="497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F4ED8"/>
    <w:multiLevelType w:val="multilevel"/>
    <w:tmpl w:val="D92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33268D"/>
    <w:multiLevelType w:val="multilevel"/>
    <w:tmpl w:val="74EC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011E9"/>
    <w:multiLevelType w:val="multilevel"/>
    <w:tmpl w:val="959C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8B5925"/>
    <w:multiLevelType w:val="multilevel"/>
    <w:tmpl w:val="578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767BE2"/>
    <w:multiLevelType w:val="multilevel"/>
    <w:tmpl w:val="E3E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C0109A"/>
    <w:multiLevelType w:val="multilevel"/>
    <w:tmpl w:val="494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D2A18"/>
    <w:multiLevelType w:val="multilevel"/>
    <w:tmpl w:val="0B4CD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62428D0"/>
    <w:multiLevelType w:val="multilevel"/>
    <w:tmpl w:val="FE04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847493"/>
    <w:multiLevelType w:val="multilevel"/>
    <w:tmpl w:val="03E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334B87"/>
    <w:multiLevelType w:val="multilevel"/>
    <w:tmpl w:val="68C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B635D2"/>
    <w:multiLevelType w:val="multilevel"/>
    <w:tmpl w:val="DE66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B93354"/>
    <w:multiLevelType w:val="multilevel"/>
    <w:tmpl w:val="BB8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2B"/>
    <w:rsid w:val="0061672B"/>
    <w:rsid w:val="008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F855"/>
  <w15:chartTrackingRefBased/>
  <w15:docId w15:val="{2CF0D5A5-472A-4882-AF63-0103AAD0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1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672B"/>
  </w:style>
  <w:style w:type="character" w:customStyle="1" w:styleId="eop">
    <w:name w:val="eop"/>
    <w:basedOn w:val="DefaultParagraphFont"/>
    <w:rsid w:val="0061672B"/>
  </w:style>
  <w:style w:type="character" w:customStyle="1" w:styleId="scxw89626598">
    <w:name w:val="scxw89626598"/>
    <w:basedOn w:val="DefaultParagraphFont"/>
    <w:rsid w:val="0061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fhs.org/media/3812287/2020-nfhs-guidance-for-opening-up-high-school-athletics-and-activities-nfhs-smac-may-15_2020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rensmercy.org/health-and-safety-resources/information-about-covid-19-novel-coronavirus/returning-to-community-activities/recommendations-for-a-safe-return-to-sport-and-physical-activity-after-covid-19/" TargetMode="External"/><Relationship Id="rId5" Type="http://schemas.openxmlformats.org/officeDocument/2006/relationships/hyperlink" Target="https://www.tn.gov/governor/covid-19/economic-recovery/spor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D WASHINGTON</dc:creator>
  <cp:keywords/>
  <dc:description/>
  <cp:lastModifiedBy>KAI D WASHINGTON</cp:lastModifiedBy>
  <cp:revision>1</cp:revision>
  <dcterms:created xsi:type="dcterms:W3CDTF">2021-04-27T15:03:00Z</dcterms:created>
  <dcterms:modified xsi:type="dcterms:W3CDTF">2021-04-27T15:04:00Z</dcterms:modified>
</cp:coreProperties>
</file>